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DD8C1">
      <w:pPr>
        <w:jc w:val="center"/>
        <w:rPr>
          <w:rFonts w:hint="eastAsia"/>
          <w:b/>
          <w:bCs/>
          <w:sz w:val="28"/>
          <w:szCs w:val="36"/>
          <w:lang w:val="en-US" w:eastAsia="zh-CN"/>
        </w:rPr>
      </w:pPr>
      <w:r>
        <w:rPr>
          <w:rFonts w:hint="eastAsia"/>
          <w:b/>
          <w:bCs/>
          <w:sz w:val="28"/>
          <w:szCs w:val="36"/>
          <w:lang w:eastAsia="zh-CN"/>
        </w:rPr>
        <w:t>项目一</w:t>
      </w:r>
      <w:r>
        <w:rPr>
          <w:rFonts w:hint="eastAsia"/>
          <w:b/>
          <w:bCs/>
          <w:sz w:val="28"/>
          <w:szCs w:val="36"/>
          <w:lang w:val="en-US" w:eastAsia="zh-CN"/>
        </w:rPr>
        <w:t xml:space="preserve"> 初识会计</w:t>
      </w:r>
    </w:p>
    <w:p w14:paraId="030E61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highlight w:val="none"/>
          <w:lang w:val="en-US" w:eastAsia="zh-CN"/>
        </w:rPr>
      </w:pPr>
      <w:r>
        <w:rPr>
          <w:rFonts w:hint="eastAsia" w:ascii="Calibri" w:hAnsi="Calibri" w:eastAsia="宋体" w:cs="Times New Roman"/>
          <w:b/>
          <w:bCs/>
          <w:sz w:val="24"/>
          <w:szCs w:val="24"/>
          <w:highlight w:val="none"/>
          <w:lang w:val="en-US" w:eastAsia="zh-CN"/>
        </w:rPr>
        <w:t>一、单选题</w:t>
      </w:r>
    </w:p>
    <w:p w14:paraId="2C4461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1.下列各项中，确定会计核算空间范围所依据的会计基本假设是（  ）。</w:t>
      </w:r>
    </w:p>
    <w:p w14:paraId="5C5EA4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A.会计分期    B.会计主体    C.货币计量    D.持续经营</w:t>
      </w:r>
    </w:p>
    <w:p w14:paraId="6DFF27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2.根据会计法律制度的规定，下列各项中，不属于会计核算内容的是（  ）</w:t>
      </w:r>
    </w:p>
    <w:p w14:paraId="6BB0D7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A.固定资产盘盈  B.合同的审核和签订  C.债券的收回  D.有价证券的有偿转让</w:t>
      </w:r>
    </w:p>
    <w:p w14:paraId="2572D0D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3.下列项目中，不属于会计核算具体内容的是（  ）</w:t>
      </w:r>
    </w:p>
    <w:p w14:paraId="305332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A.资本的增减    B.收入的计算    C.制订企业计划    D.财务成果的计算</w:t>
      </w:r>
    </w:p>
    <w:p w14:paraId="57638B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w:t>
      </w:r>
      <w:r>
        <w:rPr>
          <w:rFonts w:hint="default" w:ascii="Calibri" w:hAnsi="Calibri" w:eastAsia="宋体" w:cs="Times New Roman"/>
          <w:sz w:val="24"/>
          <w:szCs w:val="24"/>
          <w:lang w:val="en-US" w:eastAsia="zh-CN"/>
        </w:rPr>
        <w:t>下列各项中，关于会计监督职能的表述正确的是（　　）。</w:t>
      </w:r>
    </w:p>
    <w:p w14:paraId="54707C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A、会计监督是会计核算的基础，会计核算是会计监督的质量保障</w:t>
      </w:r>
    </w:p>
    <w:p w14:paraId="00DF40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6"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B、会计监督的内容包括财务成果的计算和处理</w:t>
      </w:r>
    </w:p>
    <w:p w14:paraId="716223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C、会计监督可分为单位内部监督、国家监督和社会监督三部分</w:t>
      </w:r>
    </w:p>
    <w:p w14:paraId="0BCA5D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8"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D、会计监督是会计最基本的职能</w:t>
      </w:r>
    </w:p>
    <w:p w14:paraId="3789057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w:t>
      </w:r>
      <w:r>
        <w:rPr>
          <w:rFonts w:hint="default" w:ascii="Calibri" w:hAnsi="Calibri" w:eastAsia="宋体" w:cs="Times New Roman"/>
          <w:sz w:val="24"/>
          <w:szCs w:val="24"/>
          <w:lang w:val="en-US" w:eastAsia="zh-CN"/>
        </w:rPr>
        <w:t>会计分期假设的前提是（　　）。</w:t>
      </w:r>
    </w:p>
    <w:p w14:paraId="1E4E36E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2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A、会计主体    </w:t>
      </w:r>
      <w:r>
        <w:rPr>
          <w:rFonts w:hint="eastAsia" w:ascii="Calibri" w:hAnsi="Calibri" w:eastAsia="宋体" w:cs="Times New Roman"/>
          <w:sz w:val="24"/>
          <w:szCs w:val="24"/>
          <w:lang w:val="en-US" w:eastAsia="zh-CN"/>
        </w:rPr>
        <w:pict>
          <v:shape id="_x0000_i103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B、持续经营    </w:t>
      </w:r>
      <w:r>
        <w:rPr>
          <w:rFonts w:hint="eastAsia" w:ascii="Calibri" w:hAnsi="Calibri" w:eastAsia="宋体" w:cs="Times New Roman"/>
          <w:sz w:val="24"/>
          <w:szCs w:val="24"/>
          <w:lang w:val="en-US" w:eastAsia="zh-CN"/>
        </w:rPr>
        <w:pict>
          <v:shape id="_x0000_i103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C、权责发生制原则</w:t>
      </w:r>
      <w:r>
        <w:rPr>
          <w:rFonts w:hint="eastAsia" w:ascii="Calibri" w:hAnsi="Calibri" w:eastAsia="宋体" w:cs="Times New Roman"/>
          <w:sz w:val="24"/>
          <w:szCs w:val="24"/>
          <w:lang w:val="en-US" w:eastAsia="zh-CN"/>
        </w:rPr>
        <w:pict>
          <v:shape id="_x0000_i103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D、货币计量</w:t>
      </w:r>
    </w:p>
    <w:p w14:paraId="41AA7D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w:t>
      </w:r>
      <w:r>
        <w:rPr>
          <w:rFonts w:hint="default" w:ascii="Calibri" w:hAnsi="Calibri" w:eastAsia="宋体" w:cs="Times New Roman"/>
          <w:sz w:val="24"/>
          <w:szCs w:val="24"/>
          <w:lang w:val="en-US" w:eastAsia="zh-CN"/>
        </w:rPr>
        <w:t>甲公司2023年4月发生如下业务：（1）销售商品价款20万元，款项收到；（2）收到上月销货款10万元；（3）预收销货款6万元；（4）销售商品价款15万元，款项未收。该企业采用权责发生制，本月收入为（</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）万元。</w:t>
      </w:r>
    </w:p>
    <w:p w14:paraId="50988B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3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A、35     </w:t>
      </w:r>
      <w:r>
        <w:rPr>
          <w:rFonts w:hint="eastAsia" w:ascii="Calibri" w:hAnsi="Calibri" w:eastAsia="宋体" w:cs="Times New Roman"/>
          <w:sz w:val="24"/>
          <w:szCs w:val="24"/>
          <w:lang w:val="en-US" w:eastAsia="zh-CN"/>
        </w:rPr>
        <w:pict>
          <v:shape id="_x0000_i103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B、36     </w:t>
      </w:r>
      <w:r>
        <w:rPr>
          <w:rFonts w:hint="eastAsia" w:ascii="Calibri" w:hAnsi="Calibri" w:eastAsia="宋体" w:cs="Times New Roman"/>
          <w:sz w:val="24"/>
          <w:szCs w:val="24"/>
          <w:lang w:val="en-US" w:eastAsia="zh-CN"/>
        </w:rPr>
        <w:pict>
          <v:shape id="_x0000_i103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C、31</w:t>
      </w:r>
      <w:r>
        <w:rPr>
          <w:rFonts w:hint="eastAsia" w:ascii="Calibri" w:hAnsi="Calibri" w:eastAsia="宋体" w:cs="Times New Roman"/>
          <w:sz w:val="24"/>
          <w:szCs w:val="24"/>
          <w:lang w:val="en-US" w:eastAsia="zh-CN"/>
        </w:rPr>
        <w:pict>
          <v:shape id="_x0000_i1036"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D、51</w:t>
      </w:r>
    </w:p>
    <w:p w14:paraId="260EF0D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w:t>
      </w:r>
      <w:r>
        <w:rPr>
          <w:rFonts w:hint="default" w:ascii="Calibri" w:hAnsi="Calibri" w:eastAsia="宋体" w:cs="Times New Roman"/>
          <w:sz w:val="24"/>
          <w:szCs w:val="24"/>
          <w:lang w:val="en-US" w:eastAsia="zh-CN"/>
        </w:rPr>
        <w:t>下列各项中，以收付实现制为会计核算基础的是（　　）。</w:t>
      </w:r>
    </w:p>
    <w:p w14:paraId="7DBAF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3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A、当期已实现的收入，无论是否收到款项，都作为当期的收入</w:t>
      </w:r>
    </w:p>
    <w:p w14:paraId="478F87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38"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B、将上期预付的财产保险费确认为本期的费用</w:t>
      </w:r>
    </w:p>
    <w:p w14:paraId="02B072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3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C、预收商品销货款时确认收入</w:t>
      </w:r>
      <w:r>
        <w:rPr>
          <w:rFonts w:hint="eastAsia" w:ascii="Calibri" w:hAnsi="Calibri" w:eastAsia="宋体" w:cs="Times New Roman"/>
          <w:sz w:val="24"/>
          <w:szCs w:val="24"/>
          <w:lang w:val="en-US" w:eastAsia="zh-CN"/>
        </w:rPr>
        <w:pict>
          <v:shape id="_x0000_i1040" o:spt="201" type="#_x0000_t201" style="height:0pt;width:0.05pt;" filled="f" coordsize="21600,21600">
            <v:path/>
            <v:fill on="f" focussize="0,0"/>
            <v:stroke/>
            <v:imagedata o:title=""/>
            <o:lock v:ext="edit" aspectratio="t"/>
            <w10:wrap type="none"/>
            <w10:anchorlock/>
          </v:shape>
        </w:pict>
      </w:r>
    </w:p>
    <w:p w14:paraId="6931CE3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 款项已收到，但销售未实现，未确认为本期的收入</w:t>
      </w:r>
    </w:p>
    <w:p w14:paraId="1ACD96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w:t>
      </w:r>
      <w:r>
        <w:rPr>
          <w:rFonts w:hint="default" w:ascii="Calibri" w:hAnsi="Calibri" w:eastAsia="宋体" w:cs="Times New Roman"/>
          <w:sz w:val="24"/>
          <w:szCs w:val="24"/>
          <w:lang w:val="en-US" w:eastAsia="zh-CN"/>
        </w:rPr>
        <w:t>甲公司2023年12月支付第四季度水电费7.5万元，支付本月办公楼租金100万元，按照权责发生制，该公司本月应确认费用（　　）万元。</w:t>
      </w:r>
    </w:p>
    <w:p w14:paraId="4C1F67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4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A、107.5     </w:t>
      </w:r>
      <w:r>
        <w:rPr>
          <w:rFonts w:hint="eastAsia" w:ascii="Calibri" w:hAnsi="Calibri" w:eastAsia="宋体" w:cs="Times New Roman"/>
          <w:sz w:val="24"/>
          <w:szCs w:val="24"/>
          <w:lang w:val="en-US" w:eastAsia="zh-CN"/>
        </w:rPr>
        <w:pict>
          <v:shape id="_x0000_i104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B、7.5</w:t>
      </w:r>
      <w:r>
        <w:rPr>
          <w:rFonts w:hint="eastAsia" w:ascii="Calibri" w:hAnsi="Calibri" w:eastAsia="宋体" w:cs="Times New Roman"/>
          <w:sz w:val="24"/>
          <w:szCs w:val="24"/>
          <w:lang w:val="en-US" w:eastAsia="zh-CN"/>
        </w:rPr>
        <w:pict>
          <v:shape id="_x0000_i104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C、100     </w:t>
      </w:r>
      <w:r>
        <w:rPr>
          <w:rFonts w:hint="eastAsia" w:ascii="Calibri" w:hAnsi="Calibri" w:eastAsia="宋体" w:cs="Times New Roman"/>
          <w:sz w:val="24"/>
          <w:szCs w:val="24"/>
          <w:lang w:val="en-US" w:eastAsia="zh-CN"/>
        </w:rPr>
        <w:pict>
          <v:shape id="_x0000_i104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D、102.5</w:t>
      </w:r>
    </w:p>
    <w:p w14:paraId="099DAD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w:t>
      </w:r>
      <w:r>
        <w:rPr>
          <w:rFonts w:hint="default" w:ascii="Calibri" w:hAnsi="Calibri" w:eastAsia="宋体" w:cs="Times New Roman"/>
          <w:sz w:val="24"/>
          <w:szCs w:val="24"/>
          <w:lang w:val="en-US" w:eastAsia="zh-CN"/>
        </w:rPr>
        <w:t>下列各项中，属于会计信息质量要求中谨慎性要求的是（　）。</w:t>
      </w:r>
    </w:p>
    <w:p w14:paraId="14FD11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4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A、同一企业在同一时期的相同或相似事项要采用相同的会计政策，不得随意变更</w:t>
      </w:r>
      <w:r>
        <w:rPr>
          <w:rFonts w:hint="eastAsia" w:ascii="Calibri" w:hAnsi="Calibri" w:eastAsia="宋体" w:cs="Times New Roman"/>
          <w:sz w:val="24"/>
          <w:szCs w:val="24"/>
          <w:lang w:val="en-US" w:eastAsia="zh-CN"/>
        </w:rPr>
        <w:pict>
          <v:shape id="_x0000_i1046" o:spt="201" type="#_x0000_t201" style="height:0pt;width:0.05pt;" filled="f" coordsize="21600,21600">
            <v:path/>
            <v:fill on="f" focussize="0,0"/>
            <v:stroke/>
            <v:imagedata o:title=""/>
            <o:lock v:ext="edit" aspectratio="t"/>
            <w10:wrap type="none"/>
            <w10:anchorlock/>
          </v:shape>
        </w:pict>
      </w:r>
    </w:p>
    <w:p w14:paraId="71DA9A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B、企业要以实际发生的经济业务或者事项为依据进行会计核算</w:t>
      </w:r>
    </w:p>
    <w:p w14:paraId="5FCF9E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w:t>
      </w:r>
      <w:r>
        <w:rPr>
          <w:rFonts w:hint="eastAsia" w:ascii="Calibri" w:hAnsi="Calibri" w:eastAsia="宋体" w:cs="Times New Roman"/>
          <w:sz w:val="24"/>
          <w:szCs w:val="24"/>
          <w:lang w:val="en-US" w:eastAsia="zh-CN"/>
        </w:rPr>
        <w:pict>
          <v:shape id="_x0000_i104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计提应收账款坏账准备</w:t>
      </w:r>
      <w:r>
        <w:rPr>
          <w:rFonts w:hint="eastAsia" w:ascii="Calibri" w:hAnsi="Calibri" w:eastAsia="宋体" w:cs="Times New Roman"/>
          <w:sz w:val="24"/>
          <w:szCs w:val="24"/>
          <w:lang w:val="en-US" w:eastAsia="zh-CN"/>
        </w:rPr>
        <w:pict>
          <v:shape id="_x0000_i1048" o:spt="201" type="#_x0000_t201" style="height:0pt;width:0.05pt;" filled="f" coordsize="21600,21600">
            <v:path/>
            <v:fill on="f" focussize="0,0"/>
            <v:stroke/>
            <v:imagedata o:title=""/>
            <o:lock v:ext="edit" aspectratio="t"/>
            <w10:wrap type="none"/>
            <w10:anchorlock/>
          </v:shape>
        </w:pict>
      </w:r>
    </w:p>
    <w:p w14:paraId="262851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D、租入的固定资产（短期租赁和低值资产租赁除外）作为企业的自有资产处理</w:t>
      </w:r>
    </w:p>
    <w:p w14:paraId="3C75F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w:t>
      </w:r>
      <w:r>
        <w:rPr>
          <w:rFonts w:hint="default" w:ascii="Calibri" w:hAnsi="Calibri" w:eastAsia="宋体" w:cs="Times New Roman"/>
          <w:sz w:val="24"/>
          <w:szCs w:val="24"/>
          <w:lang w:val="en-US" w:eastAsia="zh-CN"/>
        </w:rPr>
        <w:t>下列对重要性的表述不正确的是（　）。</w:t>
      </w:r>
    </w:p>
    <w:p w14:paraId="336DAC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4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A、对重要会计事项，必须按照规定的会计方法和程序进行处理，并在财务报告中予以充分、准确地披露</w:t>
      </w:r>
      <w:r>
        <w:rPr>
          <w:rFonts w:hint="eastAsia" w:ascii="Calibri" w:hAnsi="Calibri" w:eastAsia="宋体" w:cs="Times New Roman"/>
          <w:sz w:val="24"/>
          <w:szCs w:val="24"/>
          <w:lang w:val="en-US" w:eastAsia="zh-CN"/>
        </w:rPr>
        <w:pict>
          <v:shape id="_x0000_i1050" o:spt="201" type="#_x0000_t201" style="height:0pt;width:0.05pt;" filled="f" coordsize="21600,21600">
            <v:path/>
            <v:fill on="f" focussize="0,0"/>
            <v:stroke/>
            <v:imagedata o:title=""/>
            <o:lock v:ext="edit" aspectratio="t"/>
            <w10:wrap type="none"/>
            <w10:anchorlock/>
          </v:shape>
        </w:pict>
      </w:r>
    </w:p>
    <w:p w14:paraId="7D66BE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B、对于次要的会计事项，在不影响会计信息真实性和不至于误导财务报告使用者作出正确判断的前提下，可适当简化处理</w:t>
      </w:r>
      <w:r>
        <w:rPr>
          <w:rFonts w:hint="eastAsia" w:ascii="Calibri" w:hAnsi="Calibri" w:eastAsia="宋体" w:cs="Times New Roman"/>
          <w:sz w:val="24"/>
          <w:szCs w:val="24"/>
          <w:lang w:val="en-US" w:eastAsia="zh-CN"/>
        </w:rPr>
        <w:pict>
          <v:shape id="_x0000_i1051" o:spt="201" type="#_x0000_t201" style="height:0pt;width:0.05pt;" filled="f" coordsize="21600,21600">
            <v:path/>
            <v:fill on="f" focussize="0,0"/>
            <v:stroke/>
            <v:imagedata o:title=""/>
            <o:lock v:ext="edit" aspectratio="t"/>
            <w10:wrap type="none"/>
            <w10:anchorlock/>
          </v:shape>
        </w:pict>
      </w:r>
    </w:p>
    <w:p w14:paraId="7A2B17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C、要求企业提供的会计信息应当反映与企业财务状况、经营成果和现金流量有关的所有重要交易或者事项</w:t>
      </w:r>
    </w:p>
    <w:p w14:paraId="27A26A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5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D、在评价某些项目的重要性时，不是取决于会计人员的职业判断</w:t>
      </w:r>
    </w:p>
    <w:p w14:paraId="7FDB6F4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11.</w:t>
      </w:r>
      <w:r>
        <w:rPr>
          <w:rFonts w:hint="default" w:ascii="Calibri" w:hAnsi="Calibri" w:eastAsia="宋体" w:cs="Times New Roman"/>
          <w:sz w:val="24"/>
          <w:szCs w:val="24"/>
          <w:lang w:val="en-US" w:eastAsia="zh-CN"/>
        </w:rPr>
        <w:t>企业将很可能承担的环保责任确认为预计负债，体现的会计信息质量要求是（　）。</w:t>
      </w:r>
    </w:p>
    <w:p w14:paraId="7AB2AEA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5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A、可理解性    </w:t>
      </w:r>
      <w:r>
        <w:rPr>
          <w:rFonts w:hint="eastAsia" w:ascii="Calibri" w:hAnsi="Calibri" w:eastAsia="宋体" w:cs="Times New Roman"/>
          <w:sz w:val="24"/>
          <w:szCs w:val="24"/>
          <w:lang w:val="en-US" w:eastAsia="zh-CN"/>
        </w:rPr>
        <w:pict>
          <v:shape id="_x0000_i105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B、及时性    </w:t>
      </w:r>
      <w:r>
        <w:rPr>
          <w:rFonts w:hint="eastAsia" w:ascii="Calibri" w:hAnsi="Calibri" w:eastAsia="宋体" w:cs="Times New Roman"/>
          <w:sz w:val="24"/>
          <w:szCs w:val="24"/>
          <w:lang w:val="en-US" w:eastAsia="zh-CN"/>
        </w:rPr>
        <w:pict>
          <v:shape id="_x0000_i105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C、实质重于形式    </w:t>
      </w:r>
      <w:r>
        <w:rPr>
          <w:rFonts w:hint="eastAsia" w:ascii="Calibri" w:hAnsi="Calibri" w:eastAsia="宋体" w:cs="Times New Roman"/>
          <w:sz w:val="24"/>
          <w:szCs w:val="24"/>
          <w:lang w:val="en-US" w:eastAsia="zh-CN"/>
        </w:rPr>
        <w:pict>
          <v:shape id="_x0000_i1056"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D、谨慎性</w:t>
      </w:r>
    </w:p>
    <w:p w14:paraId="173E31A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12.</w:t>
      </w:r>
      <w:r>
        <w:rPr>
          <w:rFonts w:hint="default" w:ascii="Calibri" w:hAnsi="Calibri" w:eastAsia="宋体" w:cs="Times New Roman"/>
          <w:sz w:val="24"/>
          <w:szCs w:val="24"/>
          <w:lang w:val="en-US" w:eastAsia="zh-CN"/>
        </w:rPr>
        <w:t>下列各项中，对企业实务中出现的、具体准则未作出明确规定的新事项、新问题进行规范的企业会计准则是（　　）。</w:t>
      </w:r>
    </w:p>
    <w:p w14:paraId="38FF24E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5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A、基本准则    </w:t>
      </w:r>
      <w:r>
        <w:rPr>
          <w:rFonts w:hint="eastAsia" w:ascii="Calibri" w:hAnsi="Calibri" w:eastAsia="宋体" w:cs="Times New Roman"/>
          <w:sz w:val="24"/>
          <w:szCs w:val="24"/>
          <w:lang w:val="en-US" w:eastAsia="zh-CN"/>
        </w:rPr>
        <w:pict>
          <v:shape id="_x0000_i1058"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B、具体准则    </w:t>
      </w:r>
      <w:r>
        <w:rPr>
          <w:rFonts w:hint="eastAsia" w:ascii="Calibri" w:hAnsi="Calibri" w:eastAsia="宋体" w:cs="Times New Roman"/>
          <w:sz w:val="24"/>
          <w:szCs w:val="24"/>
          <w:lang w:val="en-US" w:eastAsia="zh-CN"/>
        </w:rPr>
        <w:pict>
          <v:shape id="_x0000_i105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C、准则解释</w:t>
      </w:r>
      <w:r>
        <w:rPr>
          <w:rFonts w:hint="eastAsia" w:ascii="Calibri" w:hAnsi="Calibri" w:eastAsia="宋体" w:cs="Times New Roman"/>
          <w:sz w:val="24"/>
          <w:szCs w:val="24"/>
          <w:lang w:val="en-US" w:eastAsia="zh-CN"/>
        </w:rPr>
        <w:pict>
          <v:shape id="_x0000_i106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D、会计处理规定</w:t>
      </w:r>
    </w:p>
    <w:p w14:paraId="51A096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13.根据财务报告等提供的会计信息，定量或定性地判断和推测经济活动的发展变化规律，指导和调节经济活动，提高经济效益。这体现的会计职能是（　）。</w:t>
      </w:r>
    </w:p>
    <w:p w14:paraId="6D6F3C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A、参与经济决策    B、会计监督    C、预测经济前景    D、评价经营业绩</w:t>
      </w:r>
    </w:p>
    <w:p w14:paraId="2C64A72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39D248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1"/>
          <w:szCs w:val="21"/>
          <w:highlight w:val="none"/>
          <w:lang w:val="en-US" w:eastAsia="zh-CN"/>
        </w:rPr>
      </w:pPr>
      <w:r>
        <w:rPr>
          <w:rFonts w:hint="eastAsia" w:ascii="Calibri" w:hAnsi="Calibri" w:eastAsia="宋体" w:cs="Times New Roman"/>
          <w:b/>
          <w:bCs/>
          <w:sz w:val="21"/>
          <w:szCs w:val="21"/>
          <w:highlight w:val="none"/>
          <w:lang w:val="en-US" w:eastAsia="zh-CN"/>
        </w:rPr>
        <w:t>二、多选题</w:t>
      </w:r>
    </w:p>
    <w:p w14:paraId="005F01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w:t>
      </w:r>
      <w:r>
        <w:rPr>
          <w:rFonts w:hint="default" w:ascii="Calibri" w:hAnsi="Calibri" w:eastAsia="宋体" w:cs="Times New Roman"/>
          <w:sz w:val="24"/>
          <w:szCs w:val="24"/>
          <w:lang w:val="en-US" w:eastAsia="zh-CN"/>
        </w:rPr>
        <w:t>下列各项中，会计核算的内容主要包括（</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 xml:space="preserve"> ）。</w:t>
      </w:r>
    </w:p>
    <w:p w14:paraId="0BB060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6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A、有价证券的收付  </w:t>
      </w:r>
      <w:r>
        <w:rPr>
          <w:rFonts w:hint="eastAsia" w:ascii="Calibri" w:hAnsi="Calibri" w:eastAsia="宋体" w:cs="Times New Roman"/>
          <w:sz w:val="24"/>
          <w:szCs w:val="24"/>
          <w:lang w:val="en-US" w:eastAsia="zh-CN"/>
        </w:rPr>
        <w:pict>
          <v:shape id="_x0000_i106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B、成本的计算  </w:t>
      </w:r>
      <w:r>
        <w:rPr>
          <w:rFonts w:hint="eastAsia" w:ascii="Calibri" w:hAnsi="Calibri" w:eastAsia="宋体" w:cs="Times New Roman"/>
          <w:sz w:val="24"/>
          <w:szCs w:val="24"/>
          <w:lang w:val="en-US" w:eastAsia="zh-CN"/>
        </w:rPr>
        <w:pict>
          <v:shape id="_x0000_i106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C、债权、债务的结算</w:t>
      </w:r>
      <w:r>
        <w:rPr>
          <w:rFonts w:hint="eastAsia" w:ascii="Calibri" w:hAnsi="Calibri" w:eastAsia="宋体" w:cs="Times New Roman"/>
          <w:sz w:val="24"/>
          <w:szCs w:val="24"/>
          <w:lang w:val="en-US" w:eastAsia="zh-CN"/>
        </w:rPr>
        <w:pict>
          <v:shape id="_x0000_i106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D、基金的增减</w:t>
      </w:r>
    </w:p>
    <w:p w14:paraId="63BB2B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w:t>
      </w:r>
      <w:r>
        <w:rPr>
          <w:rFonts w:hint="default" w:ascii="Calibri" w:hAnsi="Calibri" w:eastAsia="宋体" w:cs="Times New Roman"/>
          <w:sz w:val="24"/>
          <w:szCs w:val="24"/>
          <w:lang w:val="en-US" w:eastAsia="zh-CN"/>
        </w:rPr>
        <w:t>下列各项中，属于会计监督的主要内容的有（　　）。</w:t>
      </w:r>
    </w:p>
    <w:p w14:paraId="537B1F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6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A、对实物、款项进行监督</w:t>
      </w:r>
      <w:r>
        <w:rPr>
          <w:rFonts w:hint="eastAsia" w:ascii="Calibri" w:hAnsi="Calibri" w:eastAsia="宋体" w:cs="Times New Roman"/>
          <w:sz w:val="24"/>
          <w:szCs w:val="24"/>
          <w:lang w:val="en-US" w:eastAsia="zh-CN"/>
        </w:rPr>
        <w:pict>
          <v:shape id="_x0000_i1066" o:spt="201" type="#_x0000_t201" style="height:0pt;width:0.05pt;" filled="f" coordsize="21600,21600">
            <v:path/>
            <v:fill on="f" focussize="0,0"/>
            <v:stroke/>
            <v:imagedata o:title=""/>
            <o:lock v:ext="edit" aspectratio="t"/>
            <w10:wrap type="none"/>
            <w10:anchorlock/>
          </v:shape>
        </w:pict>
      </w:r>
    </w:p>
    <w:p w14:paraId="422DEF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B、对伪造、变造、故意毁灭会计账簿或者账外设账行为，应当制止和纠正</w:t>
      </w:r>
    </w:p>
    <w:p w14:paraId="07BB3B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6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C、对财务收支进行监督</w:t>
      </w:r>
      <w:r>
        <w:rPr>
          <w:rFonts w:hint="eastAsia" w:ascii="Calibri" w:hAnsi="Calibri" w:eastAsia="宋体" w:cs="Times New Roman"/>
          <w:sz w:val="24"/>
          <w:szCs w:val="24"/>
          <w:lang w:val="en-US" w:eastAsia="zh-CN"/>
        </w:rPr>
        <w:pict>
          <v:shape id="_x0000_i1068" o:spt="201" type="#_x0000_t201" style="height:0pt;width:0.05pt;" filled="f" coordsize="21600,21600">
            <v:path/>
            <v:fill on="f" focussize="0,0"/>
            <v:stroke/>
            <v:imagedata o:title=""/>
            <o:lock v:ext="edit" aspectratio="t"/>
            <w10:wrap type="none"/>
            <w10:anchorlock/>
          </v:shape>
        </w:pict>
      </w:r>
    </w:p>
    <w:p w14:paraId="7CB3AF8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D、对原始凭证进行审核和监督</w:t>
      </w:r>
    </w:p>
    <w:p w14:paraId="6517C05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w:t>
      </w:r>
      <w:r>
        <w:rPr>
          <w:rFonts w:hint="default" w:ascii="Calibri" w:hAnsi="Calibri" w:eastAsia="宋体" w:cs="Times New Roman"/>
          <w:sz w:val="24"/>
          <w:szCs w:val="24"/>
          <w:lang w:val="en-US" w:eastAsia="zh-CN"/>
        </w:rPr>
        <w:t>下列各项中，属于会计基本假设的有（</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7306B7D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6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A、会计主体    </w:t>
      </w:r>
      <w:r>
        <w:rPr>
          <w:rFonts w:hint="eastAsia" w:ascii="Calibri" w:hAnsi="Calibri" w:eastAsia="宋体" w:cs="Times New Roman"/>
          <w:sz w:val="24"/>
          <w:szCs w:val="24"/>
          <w:lang w:val="en-US" w:eastAsia="zh-CN"/>
        </w:rPr>
        <w:pict>
          <v:shape id="_x0000_i107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B、会计分期    </w:t>
      </w:r>
      <w:r>
        <w:rPr>
          <w:rFonts w:hint="eastAsia" w:ascii="Calibri" w:hAnsi="Calibri" w:eastAsia="宋体" w:cs="Times New Roman"/>
          <w:sz w:val="24"/>
          <w:szCs w:val="24"/>
          <w:lang w:val="en-US" w:eastAsia="zh-CN"/>
        </w:rPr>
        <w:pict>
          <v:shape id="_x0000_i107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C、持续经营</w:t>
      </w:r>
      <w:r>
        <w:rPr>
          <w:rFonts w:hint="eastAsia" w:ascii="Calibri" w:hAnsi="Calibri" w:eastAsia="宋体" w:cs="Times New Roman"/>
          <w:sz w:val="24"/>
          <w:szCs w:val="24"/>
          <w:lang w:val="en-US" w:eastAsia="zh-CN"/>
        </w:rPr>
        <w:pict>
          <v:shape id="_x0000_i107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D、货币计量</w:t>
      </w:r>
    </w:p>
    <w:p w14:paraId="7F6C50E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w:t>
      </w:r>
      <w:r>
        <w:rPr>
          <w:rFonts w:hint="default" w:ascii="Calibri" w:hAnsi="Calibri" w:eastAsia="宋体" w:cs="Times New Roman"/>
          <w:sz w:val="24"/>
          <w:szCs w:val="24"/>
          <w:lang w:val="en-US" w:eastAsia="zh-CN"/>
        </w:rPr>
        <w:t>以权责发生制为核算基础，下列各项不属于本期收入或费用的有（</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089105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7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A、本期支付下期的房屋租金</w:t>
      </w:r>
    </w:p>
    <w:p w14:paraId="052652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7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B、本期预收的货款</w:t>
      </w:r>
    </w:p>
    <w:p w14:paraId="00211A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7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C、本期支付上期的房屋租金</w:t>
      </w:r>
    </w:p>
    <w:p w14:paraId="4CA870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76"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D、本期售出商品但尚未收到货款</w:t>
      </w:r>
    </w:p>
    <w:p w14:paraId="648F34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w:t>
      </w:r>
      <w:r>
        <w:rPr>
          <w:rFonts w:hint="default" w:ascii="Calibri" w:hAnsi="Calibri" w:eastAsia="宋体" w:cs="Times New Roman"/>
          <w:sz w:val="24"/>
          <w:szCs w:val="24"/>
          <w:lang w:val="en-US" w:eastAsia="zh-CN"/>
        </w:rPr>
        <w:t>下列各项中，可作为会计主体的有（　　）。</w:t>
      </w:r>
    </w:p>
    <w:p w14:paraId="4A06AE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7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A、母公司    </w:t>
      </w:r>
      <w:r>
        <w:rPr>
          <w:rFonts w:hint="eastAsia" w:ascii="Calibri" w:hAnsi="Calibri" w:eastAsia="宋体" w:cs="Times New Roman"/>
          <w:sz w:val="24"/>
          <w:szCs w:val="24"/>
          <w:lang w:val="en-US" w:eastAsia="zh-CN"/>
        </w:rPr>
        <w:pict>
          <v:shape id="_x0000_i1078"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B、生产车间    </w:t>
      </w:r>
      <w:r>
        <w:rPr>
          <w:rFonts w:hint="eastAsia" w:ascii="Calibri" w:hAnsi="Calibri" w:eastAsia="宋体" w:cs="Times New Roman"/>
          <w:sz w:val="24"/>
          <w:szCs w:val="24"/>
          <w:lang w:val="en-US" w:eastAsia="zh-CN"/>
        </w:rPr>
        <w:pict>
          <v:shape id="_x0000_i107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C、采购部门</w:t>
      </w:r>
      <w:r>
        <w:rPr>
          <w:rFonts w:hint="eastAsia" w:ascii="Calibri" w:hAnsi="Calibri" w:eastAsia="宋体" w:cs="Times New Roman"/>
          <w:sz w:val="24"/>
          <w:szCs w:val="24"/>
          <w:lang w:val="en-US" w:eastAsia="zh-CN"/>
        </w:rPr>
        <w:pict>
          <v:shape id="_x0000_i108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D、分公司</w:t>
      </w:r>
    </w:p>
    <w:p w14:paraId="760CB8D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w:t>
      </w:r>
      <w:r>
        <w:rPr>
          <w:rFonts w:hint="default" w:ascii="Calibri" w:hAnsi="Calibri" w:eastAsia="宋体" w:cs="Times New Roman"/>
          <w:sz w:val="24"/>
          <w:szCs w:val="24"/>
          <w:lang w:val="en-US" w:eastAsia="zh-CN"/>
        </w:rPr>
        <w:t>下列各项中，属于会计信息质量要求的有（　　）。</w:t>
      </w:r>
    </w:p>
    <w:p w14:paraId="674ACA3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8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A、可理解性    </w:t>
      </w:r>
      <w:r>
        <w:rPr>
          <w:rFonts w:hint="eastAsia" w:ascii="Calibri" w:hAnsi="Calibri" w:eastAsia="宋体" w:cs="Times New Roman"/>
          <w:sz w:val="24"/>
          <w:szCs w:val="24"/>
          <w:lang w:val="en-US" w:eastAsia="zh-CN"/>
        </w:rPr>
        <w:pict>
          <v:shape id="_x0000_i108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B、可比性    </w:t>
      </w:r>
      <w:r>
        <w:rPr>
          <w:rFonts w:hint="eastAsia" w:ascii="Calibri" w:hAnsi="Calibri" w:eastAsia="宋体" w:cs="Times New Roman"/>
          <w:sz w:val="24"/>
          <w:szCs w:val="24"/>
          <w:lang w:val="en-US" w:eastAsia="zh-CN"/>
        </w:rPr>
        <w:pict>
          <v:shape id="_x0000_i1083"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C、可靠性    </w:t>
      </w:r>
      <w:r>
        <w:rPr>
          <w:rFonts w:hint="eastAsia" w:ascii="Calibri" w:hAnsi="Calibri" w:eastAsia="宋体" w:cs="Times New Roman"/>
          <w:sz w:val="24"/>
          <w:szCs w:val="24"/>
          <w:lang w:val="en-US" w:eastAsia="zh-CN"/>
        </w:rPr>
        <w:pict>
          <v:shape id="_x0000_i1084"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D、谨慎性</w:t>
      </w:r>
    </w:p>
    <w:p w14:paraId="50BB9F8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w:t>
      </w:r>
      <w:r>
        <w:rPr>
          <w:rFonts w:hint="default" w:ascii="Calibri" w:hAnsi="Calibri" w:eastAsia="宋体" w:cs="Times New Roman"/>
          <w:sz w:val="24"/>
          <w:szCs w:val="24"/>
          <w:lang w:val="en-US" w:eastAsia="zh-CN"/>
        </w:rPr>
        <w:t>下列关于会计信息质量的重要性要求的表述中，正确的有（</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64835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85"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A、重要性的应用需要依赖职业判断</w:t>
      </w:r>
      <w:r>
        <w:rPr>
          <w:rFonts w:hint="eastAsia" w:ascii="Calibri" w:hAnsi="Calibri" w:eastAsia="宋体" w:cs="Times New Roman"/>
          <w:sz w:val="24"/>
          <w:szCs w:val="24"/>
          <w:lang w:val="en-US" w:eastAsia="zh-CN"/>
        </w:rPr>
        <w:pict>
          <v:shape id="_x0000_i1086" o:spt="201" type="#_x0000_t201" style="height:0pt;width:0.05pt;" filled="f" coordsize="21600,21600">
            <v:path/>
            <v:fill on="f" focussize="0,0"/>
            <v:stroke/>
            <v:imagedata o:title=""/>
            <o:lock v:ext="edit" aspectratio="t"/>
            <w10:wrap type="none"/>
            <w10:anchorlock/>
          </v:shape>
        </w:pict>
      </w:r>
    </w:p>
    <w:p w14:paraId="1B05CF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B、交易或者事项是否重要仅取决于项目的性质</w:t>
      </w:r>
    </w:p>
    <w:p w14:paraId="133E42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87"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C、交易或者事项是否重要仅取决于金额的大小</w:t>
      </w:r>
      <w:r>
        <w:rPr>
          <w:rFonts w:hint="eastAsia" w:ascii="Calibri" w:hAnsi="Calibri" w:eastAsia="宋体" w:cs="Times New Roman"/>
          <w:sz w:val="24"/>
          <w:szCs w:val="24"/>
          <w:lang w:val="en-US" w:eastAsia="zh-CN"/>
        </w:rPr>
        <w:pict>
          <v:shape id="_x0000_i1088" o:spt="201" type="#_x0000_t201" style="height:0pt;width:0.05pt;" filled="f" coordsize="21600,21600">
            <v:path/>
            <v:fill on="f" focussize="0,0"/>
            <v:stroke/>
            <v:imagedata o:title=""/>
            <o:lock v:ext="edit" aspectratio="t"/>
            <w10:wrap type="none"/>
            <w10:anchorlock/>
          </v:shape>
        </w:pict>
      </w:r>
    </w:p>
    <w:p w14:paraId="3A7411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D、交易或者事项是否重要既取决于项目的功能、性质，又取决于金额大小</w:t>
      </w:r>
    </w:p>
    <w:p w14:paraId="0C29636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w:t>
      </w:r>
      <w:r>
        <w:rPr>
          <w:rFonts w:hint="default" w:ascii="Calibri" w:hAnsi="Calibri" w:eastAsia="宋体" w:cs="Times New Roman"/>
          <w:sz w:val="24"/>
          <w:szCs w:val="24"/>
          <w:lang w:val="en-US" w:eastAsia="zh-CN"/>
        </w:rPr>
        <w:t>企业会计准则主要适用于（）。</w:t>
      </w:r>
    </w:p>
    <w:p w14:paraId="75EF86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pict>
          <v:shape id="_x0000_i1089"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A、上市公司    </w:t>
      </w:r>
      <w:r>
        <w:rPr>
          <w:rFonts w:hint="eastAsia" w:ascii="Calibri" w:hAnsi="Calibri" w:eastAsia="宋体" w:cs="Times New Roman"/>
          <w:sz w:val="24"/>
          <w:szCs w:val="24"/>
          <w:lang w:val="en-US" w:eastAsia="zh-CN"/>
        </w:rPr>
        <w:pict>
          <v:shape id="_x0000_i1090"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B、各级政府</w:t>
      </w:r>
      <w:r>
        <w:rPr>
          <w:rFonts w:hint="eastAsia" w:ascii="Calibri" w:hAnsi="Calibri" w:eastAsia="宋体" w:cs="Times New Roman"/>
          <w:sz w:val="24"/>
          <w:szCs w:val="24"/>
          <w:lang w:val="en-US" w:eastAsia="zh-CN"/>
        </w:rPr>
        <w:pict>
          <v:shape id="_x0000_i1091"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 xml:space="preserve">    C、金融机构    </w:t>
      </w:r>
      <w:r>
        <w:rPr>
          <w:rFonts w:hint="eastAsia" w:ascii="Calibri" w:hAnsi="Calibri" w:eastAsia="宋体" w:cs="Times New Roman"/>
          <w:sz w:val="24"/>
          <w:szCs w:val="24"/>
          <w:lang w:val="en-US" w:eastAsia="zh-CN"/>
        </w:rPr>
        <w:pict>
          <v:shape id="_x0000_i1092" o:spt="201" type="#_x0000_t201" style="height:0pt;width:0.05pt;" filled="f" coordsize="21600,21600">
            <v:path/>
            <v:fill on="f" focussize="0,0"/>
            <v:stroke/>
            <v:imagedata o:title=""/>
            <o:lock v:ext="edit" aspectratio="t"/>
            <w10:wrap type="none"/>
            <w10:anchorlock/>
          </v:shape>
        </w:pict>
      </w:r>
      <w:r>
        <w:rPr>
          <w:rFonts w:hint="eastAsia" w:ascii="Calibri" w:hAnsi="Calibri" w:eastAsia="宋体" w:cs="Times New Roman"/>
          <w:sz w:val="24"/>
          <w:szCs w:val="24"/>
          <w:lang w:val="en-US" w:eastAsia="zh-CN"/>
        </w:rPr>
        <w:t>D、国有企业</w:t>
      </w:r>
    </w:p>
    <w:p w14:paraId="4750CBC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w:t>
      </w:r>
      <w:r>
        <w:rPr>
          <w:rFonts w:hint="default" w:ascii="Calibri" w:hAnsi="Calibri" w:eastAsia="宋体" w:cs="Times New Roman"/>
          <w:sz w:val="24"/>
          <w:szCs w:val="24"/>
          <w:lang w:val="en-US" w:eastAsia="zh-CN"/>
        </w:rPr>
        <w:t>下列各项中，符合谨慎性会计信息质量要求的有（　）。</w:t>
      </w:r>
    </w:p>
    <w:p w14:paraId="71CBD15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A</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金额较小的低值易耗品一次摊销计入当期损益</w:t>
      </w:r>
    </w:p>
    <w:p w14:paraId="1FD6899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B</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在财务报表中对收入和利得、费用和损失进行分类列报</w:t>
      </w:r>
    </w:p>
    <w:p w14:paraId="1777E26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C</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对很可能承担的环保责任确认预计负债</w:t>
      </w:r>
    </w:p>
    <w:p w14:paraId="49F3328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D</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固定资产预期可收回金额低于其账面价值的差额确认资产减值损失</w:t>
      </w:r>
    </w:p>
    <w:p w14:paraId="6DB40A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10.下列各项中，属于会计基本职能的有（　　）。</w:t>
      </w:r>
    </w:p>
    <w:p w14:paraId="088454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A、参与经济决策</w:t>
      </w:r>
    </w:p>
    <w:p w14:paraId="306545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B、进行会计核算</w:t>
      </w:r>
    </w:p>
    <w:p w14:paraId="36E79D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C、实施会计监督</w:t>
      </w:r>
    </w:p>
    <w:p w14:paraId="1F8ADED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D、预测经济前景</w:t>
      </w:r>
    </w:p>
    <w:p w14:paraId="58F85B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38235F2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b/>
          <w:bCs/>
          <w:sz w:val="24"/>
          <w:szCs w:val="24"/>
          <w:highlight w:val="none"/>
          <w:lang w:val="en-US" w:eastAsia="zh-CN"/>
        </w:rPr>
      </w:pPr>
      <w:r>
        <w:rPr>
          <w:rFonts w:hint="eastAsia" w:ascii="Calibri" w:hAnsi="Calibri" w:eastAsia="宋体" w:cs="Times New Roman"/>
          <w:b/>
          <w:bCs/>
          <w:sz w:val="24"/>
          <w:szCs w:val="24"/>
          <w:highlight w:val="none"/>
          <w:lang w:val="en-US" w:eastAsia="zh-CN"/>
        </w:rPr>
        <w:t>三、判断题</w:t>
      </w:r>
    </w:p>
    <w:p w14:paraId="3182B44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1.企业应当按照权责发生制编制财务报表（</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0655AEA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2.根据权责发生制，企业在本月支付下月办公楼租金应在本月计为费用。（</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4B2A8A6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w:t>
      </w:r>
      <w:r>
        <w:rPr>
          <w:rFonts w:hint="default" w:ascii="Calibri" w:hAnsi="Calibri" w:eastAsia="宋体" w:cs="Times New Roman"/>
          <w:sz w:val="24"/>
          <w:szCs w:val="24"/>
          <w:lang w:val="en-US" w:eastAsia="zh-CN"/>
        </w:rPr>
        <w:t>.企业对可能发生的固定资产减值损失计提资产减值准备，体现了会计信息质量的谨慎性要求。（</w:t>
      </w:r>
      <w:r>
        <w:rPr>
          <w:rFonts w:hint="eastAsia" w:ascii="Calibri" w:hAnsi="Calibri" w:eastAsia="宋体" w:cs="Times New Roman"/>
          <w:sz w:val="24"/>
          <w:szCs w:val="24"/>
          <w:lang w:val="en-US" w:eastAsia="zh-CN"/>
        </w:rPr>
        <w:t xml:space="preserve">  </w:t>
      </w:r>
      <w:r>
        <w:rPr>
          <w:rFonts w:hint="default" w:ascii="Calibri" w:hAnsi="Calibri" w:eastAsia="宋体" w:cs="Times New Roman"/>
          <w:sz w:val="24"/>
          <w:szCs w:val="24"/>
          <w:lang w:val="en-US" w:eastAsia="zh-CN"/>
        </w:rPr>
        <w:t>）</w:t>
      </w:r>
    </w:p>
    <w:p w14:paraId="6786B5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4.会计的核算职能，是指会计以货币为唯一计量单位，对特定主体的经济活动进行确认、计量、记录和报告。（　　）</w:t>
      </w:r>
    </w:p>
    <w:p w14:paraId="7F7815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5.会计除了核算和监督职能外，还具有预测经济前景、参与经济决策、评价经营业绩等拓展职能。（  ）</w:t>
      </w:r>
    </w:p>
    <w:p w14:paraId="68B869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6.无论什么会计主体，都应当以权责发生制为基础进行会计确认、计量、记录和报告。（　　）</w:t>
      </w:r>
    </w:p>
    <w:p w14:paraId="073791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7.持续经营是指会计主体将会按当前的规模和状态一直持续经营下去，不会停业、破产清算，也不会大规模削减业务。（  ）</w:t>
      </w:r>
    </w:p>
    <w:p w14:paraId="573E69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8.实质重于形式要求企业应当按照交易或者事项的法律形式进行会计确认、计量、记录和报告，不用以交易或者事项的经济实质为依据。（　）</w:t>
      </w:r>
    </w:p>
    <w:p w14:paraId="5EC0A9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9.政府会计准则制度体系适用于政府会计主体，主要包括各级政府、各部门、各单位。（  ）</w:t>
      </w:r>
    </w:p>
    <w:p w14:paraId="684EF1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10.费用按照权责发生制确认，本期支付的费用就是本期的费用。（  ）</w:t>
      </w:r>
    </w:p>
    <w:p w14:paraId="7DC3CB8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11.企业对可能发生的固定资产减值损失计提资产减值准备，体现了谨慎性。（　　）</w:t>
      </w:r>
    </w:p>
    <w:p w14:paraId="56A960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12.相关性要求企业的会计信息应当清晰明了，简明扼要，数据记录和文字说明能一目了然的反映出经济活动的来龙去脉。（　）</w:t>
      </w:r>
    </w:p>
    <w:p w14:paraId="622EC1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p>
    <w:p w14:paraId="685226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highlight w:val="none"/>
          <w:lang w:val="en-US" w:eastAsia="zh-CN"/>
        </w:rPr>
      </w:pPr>
      <w:r>
        <w:rPr>
          <w:rFonts w:hint="eastAsia" w:ascii="Calibri" w:hAnsi="Calibri" w:eastAsia="宋体" w:cs="Times New Roman"/>
          <w:b/>
          <w:bCs/>
          <w:sz w:val="24"/>
          <w:szCs w:val="24"/>
          <w:highlight w:val="none"/>
          <w:lang w:val="en-US" w:eastAsia="zh-CN"/>
        </w:rPr>
        <w:t>四、综合题</w:t>
      </w:r>
    </w:p>
    <w:p w14:paraId="6F1D09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案例背景：</w:t>
      </w:r>
    </w:p>
    <w:p w14:paraId="5E9E6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小明刚刚大学毕业，进入一家新成立的A科技有限公司担任会计。公司主要业务为软件开发与销售。公司在成立初期，发生了一系列经济业务，小明需要根据所学会计知识进行处理。以下是公司2023年12月份的部分经济业务。</w:t>
      </w:r>
    </w:p>
    <w:p w14:paraId="39C24E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（1）12月1日，公司收到投资者投入的资金200万元，已存入银行。</w:t>
      </w:r>
    </w:p>
    <w:p w14:paraId="7C197B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（2）12月5日，公司购买办公用电脑一批，价值5万元，款项已通过银行转账支付。</w:t>
      </w:r>
    </w:p>
    <w:p w14:paraId="251E7C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（3）12月10日，公司向银行借入短期借款50万元，期限6个月，年利率6%，款项已到账。</w:t>
      </w:r>
    </w:p>
    <w:p w14:paraId="420D3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（4）12月15日，公司销售一批软件产品，价款30万元，成本20万元，款项尚未收到。</w:t>
      </w:r>
    </w:p>
    <w:p w14:paraId="54BB6E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（5）12月20日，公司支付2024年全年房租12万元。</w:t>
      </w:r>
    </w:p>
    <w:p w14:paraId="73C7B7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要求：</w:t>
      </w:r>
    </w:p>
    <w:p w14:paraId="5174531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w:t>
      </w:r>
      <w:r>
        <w:rPr>
          <w:rFonts w:hint="default" w:ascii="Calibri" w:hAnsi="Calibri" w:eastAsia="宋体" w:cs="Times New Roman"/>
          <w:sz w:val="24"/>
          <w:szCs w:val="24"/>
          <w:lang w:val="en-US" w:eastAsia="zh-CN"/>
        </w:rPr>
        <w:t>按照权责发生制，计算A</w:t>
      </w:r>
      <w:bookmarkStart w:id="0" w:name="_GoBack"/>
      <w:bookmarkEnd w:id="0"/>
      <w:r>
        <w:rPr>
          <w:rFonts w:hint="default" w:ascii="Calibri" w:hAnsi="Calibri" w:eastAsia="宋体" w:cs="Times New Roman"/>
          <w:sz w:val="24"/>
          <w:szCs w:val="24"/>
          <w:lang w:val="en-US" w:eastAsia="zh-CN"/>
        </w:rPr>
        <w:t>科技有限公司2023年12月份的利润（列出计算过程）。如果采用收付实现制，利润又是多少？</w:t>
      </w:r>
    </w:p>
    <w:p w14:paraId="77CCEB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w:t>
      </w:r>
      <w:r>
        <w:rPr>
          <w:rFonts w:hint="default" w:ascii="Calibri" w:hAnsi="Calibri" w:eastAsia="宋体" w:cs="Times New Roman"/>
          <w:sz w:val="24"/>
          <w:szCs w:val="24"/>
          <w:lang w:val="en-US" w:eastAsia="zh-CN"/>
        </w:rPr>
        <w:t>简要说明两种基础下利润差异的原因。</w:t>
      </w:r>
    </w:p>
    <w:p w14:paraId="0768425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6EB750DC">
      <w:pPr>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br w:type="page"/>
      </w:r>
    </w:p>
    <w:p w14:paraId="7E0564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Calibri" w:hAnsi="Calibri" w:eastAsia="宋体" w:cs="Times New Roman"/>
          <w:b/>
          <w:bCs/>
          <w:sz w:val="32"/>
          <w:szCs w:val="32"/>
          <w:lang w:val="en-US" w:eastAsia="zh-CN"/>
        </w:rPr>
      </w:pPr>
      <w:r>
        <w:rPr>
          <w:rFonts w:hint="eastAsia" w:ascii="Calibri" w:hAnsi="Calibri" w:eastAsia="宋体" w:cs="Times New Roman"/>
          <w:b/>
          <w:bCs/>
          <w:sz w:val="32"/>
          <w:szCs w:val="32"/>
          <w:lang w:val="en-US" w:eastAsia="zh-CN"/>
        </w:rPr>
        <w:t>题库参考答案</w:t>
      </w:r>
    </w:p>
    <w:p w14:paraId="549EB84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kern w:val="2"/>
          <w:sz w:val="24"/>
          <w:szCs w:val="24"/>
          <w:lang w:val="en-US" w:eastAsia="zh-CN" w:bidi="ar-SA"/>
        </w:rPr>
        <w:t>一、</w:t>
      </w:r>
      <w:r>
        <w:rPr>
          <w:rFonts w:hint="eastAsia" w:ascii="Calibri" w:hAnsi="Calibri" w:eastAsia="宋体" w:cs="Times New Roman"/>
          <w:b/>
          <w:bCs/>
          <w:sz w:val="24"/>
          <w:szCs w:val="24"/>
          <w:lang w:val="en-US" w:eastAsia="zh-CN"/>
        </w:rPr>
        <w:t>单选题</w:t>
      </w:r>
    </w:p>
    <w:p w14:paraId="504B54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kern w:val="2"/>
          <w:sz w:val="24"/>
          <w:szCs w:val="24"/>
          <w:lang w:val="en-US" w:eastAsia="zh-CN" w:bidi="ar-SA"/>
        </w:rPr>
        <w:t>1.</w:t>
      </w:r>
      <w:r>
        <w:rPr>
          <w:rFonts w:hint="default" w:ascii="Calibri" w:hAnsi="Calibri" w:eastAsia="宋体" w:cs="Times New Roman"/>
          <w:sz w:val="24"/>
          <w:szCs w:val="24"/>
          <w:lang w:val="en-US" w:eastAsia="zh-CN"/>
        </w:rPr>
        <w:t>【答案】B</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解析</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会计主体是指会计工作服务的特定对象，是会计确认、计量、记录和报告的空间范围，因此选项B正确。</w:t>
      </w:r>
    </w:p>
    <w:p w14:paraId="54B59C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答案】B。解析：会计核算的内容是引起资金运动的经济业务事项，包括引起资产（ACD）、负债、所有者权益、收入、费用和利润变动的事项。选项B签订合同，并未引起资金运动，无须进行会计核算。只有当合同或协议实际履行并引起资金运动时，才需要对相关经济业务事项如实记录和反映，进行会计核算。</w:t>
      </w:r>
    </w:p>
    <w:p w14:paraId="58832DC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3.【答案】C。</w:t>
      </w:r>
      <w:r>
        <w:rPr>
          <w:rFonts w:hint="default" w:ascii="Calibri" w:hAnsi="Calibri" w:eastAsia="宋体" w:cs="Times New Roman"/>
          <w:sz w:val="24"/>
          <w:szCs w:val="24"/>
          <w:lang w:val="en-US" w:eastAsia="zh-CN"/>
        </w:rPr>
        <w:t>解析:制定企业计划不是会计核算的内容。</w:t>
      </w:r>
    </w:p>
    <w:p w14:paraId="6493A4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4.【答案】C。</w:t>
      </w:r>
      <w:r>
        <w:rPr>
          <w:rFonts w:hint="default" w:ascii="Calibri" w:hAnsi="Calibri" w:eastAsia="宋体" w:cs="Times New Roman"/>
          <w:sz w:val="24"/>
          <w:szCs w:val="24"/>
          <w:lang w:val="en-US" w:eastAsia="zh-CN"/>
        </w:rPr>
        <w:t>解析:选项A错误，会计核算是会计监督的基础，会计监督是会计核算质量的保障。选项B错误，财务成果的计算和处理属于会计核算的主要内容。选项D错误，会计核算是会计最基本的职能。</w:t>
      </w:r>
    </w:p>
    <w:p w14:paraId="150C0C2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5.【答案】B。</w:t>
      </w:r>
      <w:r>
        <w:rPr>
          <w:rFonts w:hint="default" w:ascii="Calibri" w:hAnsi="Calibri" w:eastAsia="宋体" w:cs="Times New Roman"/>
          <w:sz w:val="24"/>
          <w:szCs w:val="24"/>
          <w:lang w:val="en-US" w:eastAsia="zh-CN"/>
        </w:rPr>
        <w:t>解析:会计分期，是指将一个企业持续经营的生产经营活动划分为一个个连续的、长短相同的期间。</w:t>
      </w:r>
    </w:p>
    <w:p w14:paraId="2F82B51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6.【答案】A。</w:t>
      </w:r>
      <w:r>
        <w:rPr>
          <w:rFonts w:hint="default" w:ascii="Calibri" w:hAnsi="Calibri" w:eastAsia="宋体" w:cs="Times New Roman"/>
          <w:sz w:val="24"/>
          <w:szCs w:val="24"/>
          <w:lang w:val="en-US" w:eastAsia="zh-CN"/>
        </w:rPr>
        <w:t>解析:权责发生制下，当期已经实现的收入，无论款项是否收到，都应作为当期收入，计入利润表，因此，已收款的20万元和未收款的15万元销货款应作为当期收入；不属于当期的收入，即使款项在当期收到，也不应作为当期收入，因此上月销货款10万元和预收货款6万元不能作为当期收入。20+15=35（万元），故选项A正确。</w:t>
      </w:r>
    </w:p>
    <w:p w14:paraId="6055DA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7.【答案】C。</w:t>
      </w:r>
      <w:r>
        <w:rPr>
          <w:rFonts w:hint="default" w:ascii="Calibri" w:hAnsi="Calibri" w:eastAsia="宋体" w:cs="Times New Roman"/>
          <w:sz w:val="24"/>
          <w:szCs w:val="24"/>
          <w:lang w:val="en-US" w:eastAsia="zh-CN"/>
        </w:rPr>
        <w:t>解析:选项ABD均以权责发生制为会计核算基础。</w:t>
      </w:r>
    </w:p>
    <w:p w14:paraId="1C37EEA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8.【答案】D。</w:t>
      </w:r>
      <w:r>
        <w:rPr>
          <w:rFonts w:hint="default" w:ascii="Calibri" w:hAnsi="Calibri" w:eastAsia="宋体" w:cs="Times New Roman"/>
          <w:sz w:val="24"/>
          <w:szCs w:val="24"/>
          <w:lang w:val="en-US" w:eastAsia="zh-CN"/>
        </w:rPr>
        <w:t>解析:第四季度水电费共计7.5万元，每月应确认水电费2.5万元，12月确认办公楼租金100万元，按照权责发生制，该公司本月应确认102.5万元的费用。</w:t>
      </w:r>
    </w:p>
    <w:p w14:paraId="35B7D2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9.【答案】C。</w:t>
      </w:r>
      <w:r>
        <w:rPr>
          <w:rFonts w:hint="default" w:ascii="Calibri" w:hAnsi="Calibri" w:eastAsia="宋体" w:cs="Times New Roman"/>
          <w:sz w:val="24"/>
          <w:szCs w:val="24"/>
          <w:lang w:val="en-US" w:eastAsia="zh-CN"/>
        </w:rPr>
        <w:t>解析:选项A，属于可比性要求；选项B，属于可靠性要求；选项D，属于实质重于形式要求。</w:t>
      </w:r>
    </w:p>
    <w:p w14:paraId="6AFE40B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10.【答案】D。</w:t>
      </w:r>
      <w:r>
        <w:rPr>
          <w:rFonts w:hint="default" w:ascii="Calibri" w:hAnsi="Calibri" w:eastAsia="宋体" w:cs="Times New Roman"/>
          <w:sz w:val="24"/>
          <w:szCs w:val="24"/>
          <w:lang w:val="en-US" w:eastAsia="zh-CN"/>
        </w:rPr>
        <w:t>解析:重要性的应用需要依赖职业判断，企业应当根据其所处环境和实际情况，从项目的功能、性质和金额大小多方面加以判断。</w:t>
      </w:r>
    </w:p>
    <w:p w14:paraId="05F480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11.【答案】D。</w:t>
      </w:r>
      <w:r>
        <w:rPr>
          <w:rFonts w:hint="default" w:ascii="Calibri" w:hAnsi="Calibri" w:eastAsia="宋体" w:cs="Times New Roman"/>
          <w:sz w:val="24"/>
          <w:szCs w:val="24"/>
          <w:lang w:val="en-US" w:eastAsia="zh-CN"/>
        </w:rPr>
        <w:t>解析:谨慎性要求企业对交易或者事项进行会计确认、计量、记录和报告应当保持应有的谨慎，不应高估资产或者收益、低估负债或者费用。题干中表述的是不低估负债，所以体现的是谨慎性原则。</w:t>
      </w:r>
    </w:p>
    <w:p w14:paraId="134F4DC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12.【答案】C。</w:t>
      </w:r>
      <w:r>
        <w:rPr>
          <w:rFonts w:hint="default" w:ascii="Calibri" w:hAnsi="Calibri" w:eastAsia="宋体" w:cs="Times New Roman"/>
          <w:sz w:val="24"/>
          <w:szCs w:val="24"/>
          <w:lang w:val="en-US" w:eastAsia="zh-CN"/>
        </w:rPr>
        <w:t>解析:选项C正确，准则解释对企业实务中出现的、具体准则未作出明确规定的新事项、新问题进行规范。</w:t>
      </w:r>
    </w:p>
    <w:p w14:paraId="4C83DA3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13.【答案】C。</w:t>
      </w:r>
      <w:r>
        <w:rPr>
          <w:rFonts w:hint="default" w:ascii="Calibri" w:hAnsi="Calibri" w:eastAsia="宋体" w:cs="Times New Roman"/>
          <w:sz w:val="24"/>
          <w:szCs w:val="24"/>
          <w:lang w:val="en-US" w:eastAsia="zh-CN"/>
        </w:rPr>
        <w:t>解析:题干是对会计拓展职能中“预测经济前景”职能概念的表述。</w:t>
      </w:r>
    </w:p>
    <w:p w14:paraId="3D9ED2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08E5D0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kern w:val="2"/>
          <w:sz w:val="24"/>
          <w:szCs w:val="24"/>
          <w:lang w:val="en-US" w:eastAsia="zh-CN" w:bidi="ar-SA"/>
        </w:rPr>
        <w:t>二、</w:t>
      </w:r>
      <w:r>
        <w:rPr>
          <w:rFonts w:hint="eastAsia" w:ascii="Calibri" w:hAnsi="Calibri" w:eastAsia="宋体" w:cs="Times New Roman"/>
          <w:b/>
          <w:bCs/>
          <w:sz w:val="24"/>
          <w:szCs w:val="24"/>
          <w:lang w:val="en-US" w:eastAsia="zh-CN"/>
        </w:rPr>
        <w:t>多选题</w:t>
      </w:r>
    </w:p>
    <w:p w14:paraId="628050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1.【答案】ABCD</w:t>
      </w:r>
    </w:p>
    <w:p w14:paraId="73974DC4">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会计核算的内容主要包括：（1）款项和有价证券的收付；（2）财物的收发、增减和使用；（3）债权、债务的发生和结算；（4）资本、基金的增减；（5）收入、支出、费用、成本的计算；（6）财务成果的计算和处理；（7）需要办理会计手续、进行会计核算的其他事项。选项ABCD均属于。</w:t>
      </w:r>
    </w:p>
    <w:p w14:paraId="16A171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b w:val="0"/>
          <w:bCs w:val="0"/>
          <w:sz w:val="24"/>
          <w:szCs w:val="24"/>
          <w:lang w:val="en-US" w:eastAsia="zh-CN"/>
        </w:rPr>
        <w:t>2.【</w:t>
      </w:r>
      <w:r>
        <w:rPr>
          <w:rFonts w:hint="eastAsia" w:ascii="Calibri" w:hAnsi="Calibri" w:eastAsia="宋体" w:cs="Times New Roman"/>
          <w:sz w:val="24"/>
          <w:szCs w:val="24"/>
          <w:lang w:val="en-US" w:eastAsia="zh-CN"/>
        </w:rPr>
        <w:t>答案】ABCD</w:t>
      </w:r>
    </w:p>
    <w:p w14:paraId="7BC8DC5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解析：</w:t>
      </w:r>
      <w:r>
        <w:rPr>
          <w:rFonts w:hint="default" w:ascii="Calibri" w:hAnsi="Calibri" w:eastAsia="宋体" w:cs="Times New Roman"/>
          <w:sz w:val="24"/>
          <w:szCs w:val="24"/>
          <w:lang w:val="en-US" w:eastAsia="zh-CN"/>
        </w:rPr>
        <w:t>会计监督的内容主要有：（1）对原始凭证进行审核和监督（选项D）；（2）对伪造、变造、故意毁灭会计账簿或者账外设账行为，应当制止和纠正（选项B）；（3）对实物、款项进行监督（选项A），督促建立并严格执行财产清查制度；（4）对指使、强令编造、篡改财务报告行为，应当制止和纠正；（5）对财务收支进行监督（选项C）；（6）对违反单位内部会计管理制度的经济活动，应当制止和纠正；（7）对单位制定的预算、财务计划、经济计划、业务计划的执行情况进行监督等。</w:t>
      </w:r>
    </w:p>
    <w:p w14:paraId="692906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3.【答案】ABCD</w:t>
      </w:r>
    </w:p>
    <w:p w14:paraId="4C66E3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解析:会计基本假设包括会计主体、持续经营、会计分期和货币计量。</w:t>
      </w:r>
    </w:p>
    <w:p w14:paraId="17DA45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4.【答案】ABC</w:t>
      </w:r>
    </w:p>
    <w:p w14:paraId="06BFF0C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解析:选项D虽然未收到货款，但是属于在本期售出的，所以在本期确认为收入。</w:t>
      </w:r>
    </w:p>
    <w:p w14:paraId="0C4D7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5.【答案】ABCD</w:t>
      </w:r>
    </w:p>
    <w:p w14:paraId="35BB3AD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解析:会计主体，是指会计工作服务的特定对象，是企业会计确认、计量、记录和报告的空间范围。选项ABCD均可以进行独立核算，均可作为会计主体。</w:t>
      </w:r>
    </w:p>
    <w:p w14:paraId="2223FB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6.【答案】ABCD</w:t>
      </w:r>
    </w:p>
    <w:p w14:paraId="4F51C219">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解析:会计信息质量要求主要包括可靠性、相关性、可理解性、可比性、实质重于形式、重要性、谨慎性和及时性等。</w:t>
      </w:r>
    </w:p>
    <w:p w14:paraId="167C2A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7.【答案】AD</w:t>
      </w:r>
    </w:p>
    <w:p w14:paraId="4A8FA17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解析:重要性的应用需要依赖职业判断，企业应当根据其所处环境和实际情况，从项目的功能、性质和金额大小等多方面加以判断。故选项A、D正确。</w:t>
      </w:r>
    </w:p>
    <w:p w14:paraId="2489ABC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8.【答案】ACD</w:t>
      </w:r>
    </w:p>
    <w:p w14:paraId="0495FC2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解析:企业会计准则主要适用于上市公司、金融机构、国有企业等大中型企业。</w:t>
      </w:r>
    </w:p>
    <w:p w14:paraId="7E4B74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9.【答案】CD</w:t>
      </w:r>
    </w:p>
    <w:p w14:paraId="4D04AC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解析:选项A，符合重要性会计信息质量要求；选项B，符合相关性会计信息质量要求。</w:t>
      </w:r>
    </w:p>
    <w:p w14:paraId="380E85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10.【答案】BC</w:t>
      </w:r>
    </w:p>
    <w:p w14:paraId="0B3A205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解析:选项AD属于会计拓展职能。</w:t>
      </w:r>
    </w:p>
    <w:p w14:paraId="19E95C3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34BA90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三、判断题</w:t>
      </w:r>
    </w:p>
    <w:p w14:paraId="30F33E0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w:t>
      </w:r>
      <w:r>
        <w:rPr>
          <w:rFonts w:hint="default" w:ascii="Calibri" w:hAnsi="Calibri" w:eastAsia="宋体" w:cs="Times New Roman"/>
          <w:sz w:val="24"/>
          <w:szCs w:val="24"/>
          <w:lang w:val="en-US" w:eastAsia="zh-CN"/>
        </w:rPr>
        <w:t>【答案】错</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解析</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企业除现金流量表按照收付实现制编制外，其他财务报表应当按照权责发生制编制。</w:t>
      </w:r>
    </w:p>
    <w:p w14:paraId="2714C49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2.</w:t>
      </w:r>
      <w:r>
        <w:rPr>
          <w:rFonts w:hint="default" w:ascii="Calibri" w:hAnsi="Calibri" w:eastAsia="宋体" w:cs="Times New Roman"/>
          <w:sz w:val="24"/>
          <w:szCs w:val="24"/>
          <w:lang w:val="en-US" w:eastAsia="zh-CN"/>
        </w:rPr>
        <w:t>【答案】错</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解析</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在权责发生制下，预付的租金不应该计入当期费用，应计入预付账款。</w:t>
      </w:r>
    </w:p>
    <w:p w14:paraId="539CB7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3.</w:t>
      </w:r>
      <w:r>
        <w:rPr>
          <w:rFonts w:hint="default" w:ascii="Calibri" w:hAnsi="Calibri" w:eastAsia="宋体" w:cs="Times New Roman"/>
          <w:sz w:val="24"/>
          <w:szCs w:val="24"/>
          <w:lang w:val="en-US" w:eastAsia="zh-CN"/>
        </w:rPr>
        <w:t>【答案】对</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解析</w:t>
      </w:r>
      <w:r>
        <w:rPr>
          <w:rFonts w:hint="eastAsia" w:ascii="Calibri" w:hAnsi="Calibri" w:eastAsia="宋体" w:cs="Times New Roman"/>
          <w:sz w:val="24"/>
          <w:szCs w:val="24"/>
          <w:lang w:val="en-US" w:eastAsia="zh-CN"/>
        </w:rPr>
        <w:t>：</w:t>
      </w:r>
      <w:r>
        <w:rPr>
          <w:rFonts w:hint="default" w:ascii="Calibri" w:hAnsi="Calibri" w:eastAsia="宋体" w:cs="Times New Roman"/>
          <w:sz w:val="24"/>
          <w:szCs w:val="24"/>
          <w:lang w:val="en-US" w:eastAsia="zh-CN"/>
        </w:rPr>
        <w:t>表述正确。</w:t>
      </w:r>
    </w:p>
    <w:p w14:paraId="748FDB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4.【答案】错。解析:会计的核算职能，是指会计以货币为主要计量单位，对特定主体的经济活动进行确认、计量、记录和报告。</w:t>
      </w:r>
    </w:p>
    <w:p w14:paraId="34010D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5.【答案】对。</w:t>
      </w:r>
      <w:r>
        <w:rPr>
          <w:rFonts w:hint="default" w:ascii="Calibri" w:hAnsi="Calibri" w:eastAsia="宋体" w:cs="Times New Roman"/>
          <w:sz w:val="24"/>
          <w:szCs w:val="24"/>
          <w:lang w:val="en-US" w:eastAsia="zh-CN"/>
        </w:rPr>
        <w:t>解析:会计的职能是指会计在经济管理过程中所具有的功能。作为“过程的控制和观念的总结”的会计具有会计核算和会计监督两个基本职能外，还具有预测经济前景、参与经济决策、评价经营业绩等拓展职能。</w:t>
      </w:r>
    </w:p>
    <w:p w14:paraId="3D06AA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6.【答案】错。</w:t>
      </w:r>
      <w:r>
        <w:rPr>
          <w:rFonts w:hint="default" w:ascii="Calibri" w:hAnsi="Calibri" w:eastAsia="宋体" w:cs="Times New Roman"/>
          <w:sz w:val="24"/>
          <w:szCs w:val="24"/>
          <w:lang w:val="en-US" w:eastAsia="zh-CN"/>
        </w:rPr>
        <w:t>解析:在我国，政府会计由预算会计和财务会计构成。其中，预算会计采用收付实现制，国务院另有规定的，依照其规定；财务会计采用权责发生制。</w:t>
      </w:r>
    </w:p>
    <w:p w14:paraId="6389072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7.【答案】错。</w:t>
      </w:r>
      <w:r>
        <w:rPr>
          <w:rFonts w:hint="default" w:ascii="Calibri" w:hAnsi="Calibri" w:eastAsia="宋体" w:cs="Times New Roman"/>
          <w:sz w:val="24"/>
          <w:szCs w:val="24"/>
          <w:lang w:val="en-US" w:eastAsia="zh-CN"/>
        </w:rPr>
        <w:t>解析:持续经营是指“在可以预见的将来”，会计主体将会按当前的规模和状态持续经营下去，不会停业，也不会大规模削减业务。</w:t>
      </w:r>
    </w:p>
    <w:p w14:paraId="3FE29FB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8.【答案】错。</w:t>
      </w:r>
      <w:r>
        <w:rPr>
          <w:rFonts w:hint="default" w:ascii="Calibri" w:hAnsi="Calibri" w:eastAsia="宋体" w:cs="Times New Roman"/>
          <w:sz w:val="24"/>
          <w:szCs w:val="24"/>
          <w:lang w:val="en-US" w:eastAsia="zh-CN"/>
        </w:rPr>
        <w:t>解析:实质重于形式要求企业应当按照交易或者事项的经济实质进行会计确认、计量、记录和报告，而不仅仅以交易或者事项的法律形式为依据。</w:t>
      </w:r>
    </w:p>
    <w:p w14:paraId="5D0701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9.【答案】对。</w:t>
      </w:r>
      <w:r>
        <w:rPr>
          <w:rFonts w:hint="default" w:ascii="Calibri" w:hAnsi="Calibri" w:eastAsia="宋体" w:cs="Times New Roman"/>
          <w:sz w:val="24"/>
          <w:szCs w:val="24"/>
          <w:lang w:val="en-US" w:eastAsia="zh-CN"/>
        </w:rPr>
        <w:t>解析:</w:t>
      </w:r>
    </w:p>
    <w:p w14:paraId="6A5C679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政府会计准则制度体系适用于政府会计主体，主要包括各级政府、各部门、各单位。</w:t>
      </w:r>
    </w:p>
    <w:p w14:paraId="36C7E08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10.【答案】错。</w:t>
      </w:r>
      <w:r>
        <w:rPr>
          <w:rFonts w:hint="default" w:ascii="Calibri" w:hAnsi="Calibri" w:eastAsia="宋体" w:cs="Times New Roman"/>
          <w:sz w:val="24"/>
          <w:szCs w:val="24"/>
          <w:lang w:val="en-US" w:eastAsia="zh-CN"/>
        </w:rPr>
        <w:t>解析:费用应按照权责发生制确认，凡是属于本期发生的费用，不论其款项是否支付，均确认为本期费用；反之，不属于本期发生的费用，即使其款项已在本期支付，也不确认为本期费用。</w:t>
      </w:r>
    </w:p>
    <w:p w14:paraId="4F349BB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11.【答案】对。</w:t>
      </w:r>
      <w:r>
        <w:rPr>
          <w:rFonts w:hint="default" w:ascii="Calibri" w:hAnsi="Calibri" w:eastAsia="宋体" w:cs="Times New Roman"/>
          <w:sz w:val="24"/>
          <w:szCs w:val="24"/>
          <w:lang w:val="en-US" w:eastAsia="zh-CN"/>
        </w:rPr>
        <w:t>解析:谨慎性要求企业对交易或事项进行会计确认、计量、记录和报告应当保持应有的谨慎，不应高估资产或者收益、低估负债或者费用。企业对可能发生的固定资产减值损失计提资产减值准备，体现了不高估资产。</w:t>
      </w:r>
    </w:p>
    <w:p w14:paraId="40D94F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12.【答案】错。解析:题干表述为可理解性的要求，相关性要求企业提供的会计信息应当与财务会计报告使用者的经济决策需要相关，有助于财务报告使用者对企业过去和现在的情况作出评价，对未来的情况作出预测。</w:t>
      </w:r>
    </w:p>
    <w:p w14:paraId="5A9B82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p w14:paraId="6D2ED5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b/>
          <w:bCs/>
          <w:sz w:val="24"/>
          <w:szCs w:val="24"/>
          <w:lang w:val="en-US" w:eastAsia="zh-CN"/>
        </w:rPr>
      </w:pPr>
      <w:r>
        <w:rPr>
          <w:rFonts w:hint="eastAsia" w:ascii="Calibri" w:hAnsi="Calibri" w:eastAsia="宋体" w:cs="Times New Roman"/>
          <w:b/>
          <w:bCs/>
          <w:sz w:val="24"/>
          <w:szCs w:val="24"/>
          <w:lang w:val="en-US" w:eastAsia="zh-CN"/>
        </w:rPr>
        <w:t>四、综合题</w:t>
      </w:r>
    </w:p>
    <w:p w14:paraId="4F2F757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eastAsia" w:ascii="Calibri" w:hAnsi="Calibri" w:eastAsia="宋体" w:cs="Times New Roman"/>
          <w:sz w:val="24"/>
          <w:szCs w:val="24"/>
          <w:lang w:val="en-US" w:eastAsia="zh-CN"/>
        </w:rPr>
        <w:t>【答案要点】</w:t>
      </w:r>
    </w:p>
    <w:p w14:paraId="64FFDE4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1.权责发生制：收入30万-成本20万=10万（房租不属于本期费用）。</w:t>
      </w:r>
    </w:p>
    <w:p w14:paraId="36063EE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收付实现制：收入0（未收款）-费用17万（电脑5万+房租12万）=-17万。</w:t>
      </w:r>
    </w:p>
    <w:p w14:paraId="0C528DB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r>
        <w:rPr>
          <w:rFonts w:hint="default" w:ascii="Calibri" w:hAnsi="Calibri" w:eastAsia="宋体" w:cs="Times New Roman"/>
          <w:sz w:val="24"/>
          <w:szCs w:val="24"/>
          <w:lang w:val="en-US" w:eastAsia="zh-CN"/>
        </w:rPr>
        <w:t>2.差异原因：权责发生制按归属期确认收支，收付实现制按现金实际收付确认。</w:t>
      </w:r>
    </w:p>
    <w:p w14:paraId="2A8138A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Calibri" w:hAnsi="Calibri" w:eastAsia="宋体" w:cs="Times New Roman"/>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285AB0"/>
    <w:rsid w:val="0F243999"/>
    <w:rsid w:val="1ED857BC"/>
    <w:rsid w:val="32905546"/>
    <w:rsid w:val="3A215A3E"/>
    <w:rsid w:val="4B3C116A"/>
    <w:rsid w:val="53B57EC8"/>
    <w:rsid w:val="6B831D46"/>
    <w:rsid w:val="6BE75EDD"/>
    <w:rsid w:val="6FDE46ED"/>
    <w:rsid w:val="7FC46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5357</Words>
  <Characters>5582</Characters>
  <Lines>0</Lines>
  <Paragraphs>0</Paragraphs>
  <TotalTime>20</TotalTime>
  <ScaleCrop>false</ScaleCrop>
  <LinksUpToDate>false</LinksUpToDate>
  <CharactersWithSpaces>5809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2025-11-10T06:10:00Z</dcterms:created>
  <dc:creator>雪灵鸢</dc:creator>
  <cp:lastModifiedBy>雪灵鸢</cp:lastModifiedBy>
  <dcterms:modified xsi:type="dcterms:W3CDTF">2025-12-03T09:44:09Z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2DFAA080379349098FF1348330257A43_11</vt:lpwstr>
  </property>
  <property fmtid="{D5CDD505-2E9C-101B-9397-08002B2CF9AE}" pid="4" name="KSOTemplateDocerSaveRecord">
    <vt:lpwstr>eyJoZGlkIjoiNTE3NDBmYmJjNGEzZjBlZTEyNWM4NWMzZjUxMDZmZmQiLCJ1c2VySWQiOiI4NTkyNzM0NDgifQ==</vt:lpwstr>
  </property>
</Properties>
</file>